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4CEAB" w14:textId="5C537A64" w:rsidR="00E21A28" w:rsidRDefault="00DB671E" w:rsidP="00AD3B7F">
      <w:pPr>
        <w:jc w:val="center"/>
      </w:pPr>
      <w:r>
        <w:rPr>
          <w:b/>
          <w:bCs/>
          <w:noProof/>
        </w:rPr>
        <w:drawing>
          <wp:inline distT="0" distB="0" distL="0" distR="0" wp14:anchorId="098B398E" wp14:editId="3D2BAD4A">
            <wp:extent cx="3190875" cy="742950"/>
            <wp:effectExtent l="0" t="0" r="0" b="0"/>
            <wp:docPr id="1" name="Immagine 1" descr="ConfU logo blu LEGG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fU logo blu LEGGER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967C6" w14:textId="77777777" w:rsidR="00DB671E" w:rsidRPr="00DB671E" w:rsidRDefault="00DB671E" w:rsidP="00AD3B7F">
      <w:pPr>
        <w:jc w:val="center"/>
        <w:rPr>
          <w:sz w:val="10"/>
          <w:szCs w:val="10"/>
        </w:rPr>
      </w:pPr>
    </w:p>
    <w:p w14:paraId="48729CFD" w14:textId="22202B09" w:rsidR="00AD3B7F" w:rsidRPr="00570984" w:rsidRDefault="00DB671E" w:rsidP="00AD3B7F">
      <w:pPr>
        <w:jc w:val="center"/>
        <w:rPr>
          <w:rFonts w:ascii="Calibri" w:hAnsi="Calibri" w:cs="Calibri"/>
          <w:b/>
          <w:bCs/>
          <w:color w:val="EE0000"/>
          <w:sz w:val="39"/>
          <w:szCs w:val="39"/>
        </w:rPr>
      </w:pPr>
      <w:r w:rsidRPr="00570984">
        <w:rPr>
          <w:rFonts w:ascii="Calibri" w:hAnsi="Calibri" w:cs="Calibri"/>
          <w:b/>
          <w:bCs/>
          <w:color w:val="EE0000"/>
          <w:sz w:val="39"/>
          <w:szCs w:val="39"/>
        </w:rPr>
        <w:t>INDUSTRIA METALMECCANICA: ANDAMENTO E PREVISIONI</w:t>
      </w:r>
    </w:p>
    <w:p w14:paraId="0F1F2167" w14:textId="063E5908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La metalmeccanica è il </w:t>
      </w:r>
      <w:r w:rsidRPr="00DB671E">
        <w:rPr>
          <w:rFonts w:ascii="Calibri" w:hAnsi="Calibri" w:cs="Calibri"/>
          <w:b/>
          <w:bCs/>
        </w:rPr>
        <w:t xml:space="preserve">pilastro del sistema manifatturiero del </w:t>
      </w:r>
      <w:proofErr w:type="gramStart"/>
      <w:r w:rsidRPr="00DB671E">
        <w:rPr>
          <w:rFonts w:ascii="Calibri" w:hAnsi="Calibri" w:cs="Calibri"/>
          <w:b/>
          <w:bCs/>
        </w:rPr>
        <w:t>Friuli Venezia Giulia</w:t>
      </w:r>
      <w:proofErr w:type="gramEnd"/>
      <w:r w:rsidRPr="00DB671E">
        <w:rPr>
          <w:rFonts w:ascii="Calibri" w:hAnsi="Calibri" w:cs="Calibri"/>
        </w:rPr>
        <w:t>, con un peso determinante in termini di imprese, occupazione, valore aggiunto ed esportazioni.</w:t>
      </w:r>
      <w:r w:rsidR="00DB671E">
        <w:rPr>
          <w:rFonts w:ascii="Calibri" w:hAnsi="Calibri" w:cs="Calibri"/>
        </w:rPr>
        <w:t xml:space="preserve"> </w:t>
      </w:r>
      <w:r w:rsidRPr="00DB671E">
        <w:rPr>
          <w:rFonts w:ascii="Calibri" w:hAnsi="Calibri" w:cs="Calibri"/>
        </w:rPr>
        <w:t xml:space="preserve">Il settore non </w:t>
      </w:r>
      <w:r w:rsidR="00DB671E" w:rsidRPr="00DB671E">
        <w:rPr>
          <w:rFonts w:ascii="Calibri" w:hAnsi="Calibri" w:cs="Calibri"/>
        </w:rPr>
        <w:t>sol</w:t>
      </w:r>
      <w:r w:rsidR="00DB671E">
        <w:rPr>
          <w:rFonts w:ascii="Calibri" w:hAnsi="Calibri" w:cs="Calibri"/>
        </w:rPr>
        <w:t>tant</w:t>
      </w:r>
      <w:r w:rsidR="00DB671E" w:rsidRPr="00DB671E">
        <w:rPr>
          <w:rFonts w:ascii="Calibri" w:hAnsi="Calibri" w:cs="Calibri"/>
        </w:rPr>
        <w:t xml:space="preserve">o </w:t>
      </w:r>
      <w:r w:rsidRPr="00DB671E">
        <w:rPr>
          <w:rFonts w:ascii="Calibri" w:hAnsi="Calibri" w:cs="Calibri"/>
        </w:rPr>
        <w:t>traina l’industria regionale, ma esercita un effetto di trascinamento anche sugli altri comparti produttivi e sui servizi, grazie alla sua elevata propensione all’innovazione.</w:t>
      </w:r>
    </w:p>
    <w:p w14:paraId="38511328" w14:textId="0CA26CB9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UN SETTORE CHIAVE PER DIMENSIONI E OCCUPAZIONE</w:t>
      </w:r>
    </w:p>
    <w:p w14:paraId="3F8560FB" w14:textId="77777777" w:rsidR="002474C5" w:rsidRPr="00C20BBB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t xml:space="preserve">Al 30 settembre 2025, in </w:t>
      </w:r>
      <w:proofErr w:type="gramStart"/>
      <w:r w:rsidRPr="00C20BBB">
        <w:rPr>
          <w:rFonts w:ascii="Calibri" w:hAnsi="Calibri" w:cs="Calibri"/>
        </w:rPr>
        <w:t>Friuli Venezia Giulia</w:t>
      </w:r>
      <w:proofErr w:type="gramEnd"/>
      <w:r w:rsidRPr="00C20BBB">
        <w:rPr>
          <w:rFonts w:ascii="Calibri" w:hAnsi="Calibri" w:cs="Calibri"/>
        </w:rPr>
        <w:t xml:space="preserve"> si contano </w:t>
      </w:r>
      <w:r w:rsidRPr="00C20BBB">
        <w:rPr>
          <w:rFonts w:ascii="Calibri" w:hAnsi="Calibri" w:cs="Calibri"/>
          <w:b/>
          <w:bCs/>
        </w:rPr>
        <w:t xml:space="preserve">4.235 localizzazioni metalmeccaniche </w:t>
      </w:r>
      <w:r w:rsidRPr="00C20BBB">
        <w:rPr>
          <w:rFonts w:ascii="Calibri" w:hAnsi="Calibri" w:cs="Calibri"/>
        </w:rPr>
        <w:t xml:space="preserve">(ovvero sedi di imprese e filiali), pari a </w:t>
      </w:r>
      <w:r w:rsidRPr="00C20BBB">
        <w:rPr>
          <w:rFonts w:ascii="Calibri" w:hAnsi="Calibri" w:cs="Calibri"/>
          <w:b/>
          <w:bCs/>
        </w:rPr>
        <w:t>oltre un terzo del manifatturiero regionale (36,7%)</w:t>
      </w:r>
      <w:r w:rsidRPr="00C20BBB">
        <w:rPr>
          <w:rFonts w:ascii="Calibri" w:hAnsi="Calibri" w:cs="Calibri"/>
        </w:rPr>
        <w:t xml:space="preserve">. </w:t>
      </w:r>
    </w:p>
    <w:p w14:paraId="1958BBDA" w14:textId="605C9DFE" w:rsidR="002474C5" w:rsidRPr="00C20BBB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t xml:space="preserve">Quasi </w:t>
      </w:r>
      <w:r w:rsidRPr="00C20BBB">
        <w:rPr>
          <w:rFonts w:ascii="Calibri" w:hAnsi="Calibri" w:cs="Calibri"/>
          <w:b/>
          <w:bCs/>
        </w:rPr>
        <w:t xml:space="preserve">una su due </w:t>
      </w:r>
      <w:r w:rsidR="00AF5C52" w:rsidRPr="00C20BBB">
        <w:rPr>
          <w:rFonts w:ascii="Calibri" w:hAnsi="Calibri" w:cs="Calibri"/>
          <w:b/>
          <w:bCs/>
        </w:rPr>
        <w:t>si trova</w:t>
      </w:r>
      <w:r w:rsidRPr="00C20BBB">
        <w:rPr>
          <w:rFonts w:ascii="Calibri" w:hAnsi="Calibri" w:cs="Calibri"/>
          <w:b/>
          <w:bCs/>
        </w:rPr>
        <w:t xml:space="preserve"> in provincia di Udine</w:t>
      </w:r>
      <w:r w:rsidRPr="00C20BBB">
        <w:rPr>
          <w:rFonts w:ascii="Calibri" w:hAnsi="Calibri" w:cs="Calibri"/>
        </w:rPr>
        <w:t xml:space="preserve">, che ospita </w:t>
      </w:r>
      <w:r w:rsidRPr="00C20BBB">
        <w:rPr>
          <w:rFonts w:ascii="Calibri" w:hAnsi="Calibri" w:cs="Calibri"/>
          <w:b/>
          <w:bCs/>
        </w:rPr>
        <w:t>1.778 imprese</w:t>
      </w:r>
      <w:r w:rsidRPr="00C20BBB">
        <w:rPr>
          <w:rFonts w:ascii="Calibri" w:hAnsi="Calibri" w:cs="Calibri"/>
        </w:rPr>
        <w:t xml:space="preserve">, il </w:t>
      </w:r>
      <w:r w:rsidRPr="00C20BBB">
        <w:rPr>
          <w:rFonts w:ascii="Calibri" w:hAnsi="Calibri" w:cs="Calibri"/>
          <w:b/>
          <w:bCs/>
        </w:rPr>
        <w:t>42% del totale regionale</w:t>
      </w:r>
      <w:r w:rsidRPr="00C20BBB">
        <w:rPr>
          <w:rFonts w:ascii="Calibri" w:hAnsi="Calibri" w:cs="Calibri"/>
        </w:rPr>
        <w:t>.</w:t>
      </w:r>
    </w:p>
    <w:p w14:paraId="70B0FDD7" w14:textId="77777777" w:rsidR="002474C5" w:rsidRPr="00C20BBB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t xml:space="preserve">L’importanza del comparto emerge con ancora maggiore evidenza sul fronte </w:t>
      </w:r>
      <w:r w:rsidRPr="00C20BBB">
        <w:rPr>
          <w:rFonts w:ascii="Calibri" w:hAnsi="Calibri" w:cs="Calibri"/>
          <w:b/>
          <w:bCs/>
        </w:rPr>
        <w:t>occupazionale</w:t>
      </w:r>
      <w:r w:rsidRPr="00C20BBB">
        <w:rPr>
          <w:rFonts w:ascii="Calibri" w:hAnsi="Calibri" w:cs="Calibri"/>
        </w:rPr>
        <w:t xml:space="preserve">: gli </w:t>
      </w:r>
      <w:r w:rsidRPr="00C20BBB">
        <w:rPr>
          <w:rFonts w:ascii="Calibri" w:hAnsi="Calibri" w:cs="Calibri"/>
          <w:b/>
          <w:bCs/>
        </w:rPr>
        <w:t>addetti metalmeccanici in regione sono 64.455</w:t>
      </w:r>
      <w:r w:rsidRPr="00C20BBB">
        <w:rPr>
          <w:rFonts w:ascii="Calibri" w:hAnsi="Calibri" w:cs="Calibri"/>
        </w:rPr>
        <w:t xml:space="preserve">, pari al </w:t>
      </w:r>
      <w:r w:rsidRPr="00C20BBB">
        <w:rPr>
          <w:rFonts w:ascii="Calibri" w:hAnsi="Calibri" w:cs="Calibri"/>
          <w:b/>
          <w:bCs/>
        </w:rPr>
        <w:t>55,3% dell’occupazione manifatturiera complessiva</w:t>
      </w:r>
      <w:r w:rsidRPr="00C20BBB">
        <w:rPr>
          <w:rFonts w:ascii="Calibri" w:hAnsi="Calibri" w:cs="Calibri"/>
        </w:rPr>
        <w:t xml:space="preserve">. </w:t>
      </w:r>
    </w:p>
    <w:p w14:paraId="7C2B5742" w14:textId="7AE650A7" w:rsidR="002474C5" w:rsidRPr="00C20BBB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t xml:space="preserve">In provincia di Udine lavorano nel settore </w:t>
      </w:r>
      <w:r w:rsidRPr="00C20BBB">
        <w:rPr>
          <w:rFonts w:ascii="Calibri" w:hAnsi="Calibri" w:cs="Calibri"/>
          <w:b/>
          <w:bCs/>
        </w:rPr>
        <w:t>24.938 addetti</w:t>
      </w:r>
      <w:r w:rsidRPr="00C20BBB">
        <w:rPr>
          <w:rFonts w:ascii="Calibri" w:hAnsi="Calibri" w:cs="Calibri"/>
        </w:rPr>
        <w:t xml:space="preserve">, che rappresentano </w:t>
      </w:r>
      <w:r w:rsidRPr="00C20BBB">
        <w:rPr>
          <w:rFonts w:ascii="Calibri" w:hAnsi="Calibri" w:cs="Calibri"/>
          <w:b/>
          <w:bCs/>
        </w:rPr>
        <w:t>oltre la metà degli occupati manifatturieri provinciali (51,6%)</w:t>
      </w:r>
      <w:r w:rsidRPr="00C20BBB">
        <w:rPr>
          <w:rFonts w:ascii="Calibri" w:hAnsi="Calibri" w:cs="Calibri"/>
        </w:rPr>
        <w:t>.</w:t>
      </w:r>
    </w:p>
    <w:p w14:paraId="25BF809B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t xml:space="preserve">Non sorprende quindi che la metalmeccanica generi </w:t>
      </w:r>
      <w:r w:rsidRPr="00C20BBB">
        <w:rPr>
          <w:rFonts w:ascii="Calibri" w:hAnsi="Calibri" w:cs="Calibri"/>
          <w:b/>
          <w:bCs/>
        </w:rPr>
        <w:t>il 56% del valore aggiunto del manifatturiero regionale</w:t>
      </w:r>
      <w:r w:rsidRPr="00C20BBB">
        <w:rPr>
          <w:rFonts w:ascii="Calibri" w:hAnsi="Calibri" w:cs="Calibri"/>
        </w:rPr>
        <w:t>, confermandosi il principale motore industriale del territorio.</w:t>
      </w:r>
    </w:p>
    <w:p w14:paraId="3EB57713" w14:textId="63FE3DC7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SPECIALIZZAZIONI PRODUTTIVE</w:t>
      </w:r>
    </w:p>
    <w:p w14:paraId="52A5F9A7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La struttura del comparto evidenzia alcune specializzazioni rilevanti. La provincia di </w:t>
      </w:r>
      <w:r w:rsidRPr="00DB671E">
        <w:rPr>
          <w:rFonts w:ascii="Calibri" w:hAnsi="Calibri" w:cs="Calibri"/>
          <w:b/>
          <w:bCs/>
        </w:rPr>
        <w:t>Udine</w:t>
      </w:r>
      <w:r w:rsidRPr="00DB671E">
        <w:rPr>
          <w:rFonts w:ascii="Calibri" w:hAnsi="Calibri" w:cs="Calibri"/>
        </w:rPr>
        <w:t xml:space="preserve"> concentra quote particolarmente elevate nella </w:t>
      </w:r>
      <w:r w:rsidRPr="00DB671E">
        <w:rPr>
          <w:rFonts w:ascii="Calibri" w:hAnsi="Calibri" w:cs="Calibri"/>
          <w:b/>
          <w:bCs/>
        </w:rPr>
        <w:t>metallurgia</w:t>
      </w:r>
      <w:r w:rsidRPr="00DB671E">
        <w:rPr>
          <w:rFonts w:ascii="Calibri" w:hAnsi="Calibri" w:cs="Calibri"/>
        </w:rPr>
        <w:t xml:space="preserve">, nella </w:t>
      </w:r>
      <w:r w:rsidRPr="00DB671E">
        <w:rPr>
          <w:rFonts w:ascii="Calibri" w:hAnsi="Calibri" w:cs="Calibri"/>
          <w:b/>
          <w:bCs/>
        </w:rPr>
        <w:t>fabbricazione di macchinari</w:t>
      </w:r>
      <w:r w:rsidRPr="00DB671E">
        <w:rPr>
          <w:rFonts w:ascii="Calibri" w:hAnsi="Calibri" w:cs="Calibri"/>
        </w:rPr>
        <w:t xml:space="preserve"> e nei </w:t>
      </w:r>
      <w:r w:rsidRPr="00DB671E">
        <w:rPr>
          <w:rFonts w:ascii="Calibri" w:hAnsi="Calibri" w:cs="Calibri"/>
          <w:b/>
          <w:bCs/>
        </w:rPr>
        <w:t>prodotti in metallo</w:t>
      </w:r>
      <w:r w:rsidRPr="00DB671E">
        <w:rPr>
          <w:rFonts w:ascii="Calibri" w:hAnsi="Calibri" w:cs="Calibri"/>
        </w:rPr>
        <w:t xml:space="preserve">, con incidenze che in alcuni casi superano il </w:t>
      </w:r>
      <w:r w:rsidRPr="00DB671E">
        <w:rPr>
          <w:rFonts w:ascii="Calibri" w:hAnsi="Calibri" w:cs="Calibri"/>
          <w:b/>
          <w:bCs/>
        </w:rPr>
        <w:t>50% degli addetti regionali</w:t>
      </w:r>
      <w:r w:rsidRPr="00DB671E">
        <w:rPr>
          <w:rFonts w:ascii="Calibri" w:hAnsi="Calibri" w:cs="Calibri"/>
        </w:rPr>
        <w:t xml:space="preserve">. Nel complesso, la metalmeccanica pesa per il </w:t>
      </w:r>
      <w:r w:rsidRPr="00DB671E">
        <w:rPr>
          <w:rFonts w:ascii="Calibri" w:hAnsi="Calibri" w:cs="Calibri"/>
          <w:b/>
          <w:bCs/>
        </w:rPr>
        <w:t>31,8% delle imprese manifatturiere provinciali</w:t>
      </w:r>
      <w:r w:rsidRPr="00DB671E">
        <w:rPr>
          <w:rFonts w:ascii="Calibri" w:hAnsi="Calibri" w:cs="Calibri"/>
        </w:rPr>
        <w:t xml:space="preserve"> e per il </w:t>
      </w:r>
      <w:r w:rsidRPr="00DB671E">
        <w:rPr>
          <w:rFonts w:ascii="Calibri" w:hAnsi="Calibri" w:cs="Calibri"/>
          <w:b/>
          <w:bCs/>
        </w:rPr>
        <w:t>51,6% degli addetti</w:t>
      </w:r>
      <w:r w:rsidRPr="00DB671E">
        <w:rPr>
          <w:rFonts w:ascii="Calibri" w:hAnsi="Calibri" w:cs="Calibri"/>
        </w:rPr>
        <w:t xml:space="preserve">, mentre a livello regionale le quote salgono rispettivamente al </w:t>
      </w:r>
      <w:r w:rsidRPr="00DB671E">
        <w:rPr>
          <w:rFonts w:ascii="Calibri" w:hAnsi="Calibri" w:cs="Calibri"/>
          <w:b/>
          <w:bCs/>
        </w:rPr>
        <w:t>36,7%</w:t>
      </w:r>
      <w:r w:rsidRPr="00DB671E">
        <w:rPr>
          <w:rFonts w:ascii="Calibri" w:hAnsi="Calibri" w:cs="Calibri"/>
        </w:rPr>
        <w:t xml:space="preserve"> e al </w:t>
      </w:r>
      <w:r w:rsidRPr="00DB671E">
        <w:rPr>
          <w:rFonts w:ascii="Calibri" w:hAnsi="Calibri" w:cs="Calibri"/>
          <w:b/>
          <w:bCs/>
        </w:rPr>
        <w:t>55,3%</w:t>
      </w:r>
      <w:r w:rsidRPr="00DB671E">
        <w:rPr>
          <w:rFonts w:ascii="Calibri" w:hAnsi="Calibri" w:cs="Calibri"/>
        </w:rPr>
        <w:t>.</w:t>
      </w:r>
    </w:p>
    <w:p w14:paraId="44676F22" w14:textId="08A740AE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PRODUZIONE: SEGNALI DI RALLENTAMENTO MENO INTENSI</w:t>
      </w:r>
    </w:p>
    <w:p w14:paraId="4F1F41AB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Nei </w:t>
      </w:r>
      <w:r w:rsidRPr="00DB671E">
        <w:rPr>
          <w:rFonts w:ascii="Calibri" w:hAnsi="Calibri" w:cs="Calibri"/>
          <w:b/>
          <w:bCs/>
        </w:rPr>
        <w:t>primi nove mesi del 2025</w:t>
      </w:r>
      <w:r w:rsidRPr="00DB671E">
        <w:rPr>
          <w:rFonts w:ascii="Calibri" w:hAnsi="Calibri" w:cs="Calibri"/>
        </w:rPr>
        <w:t xml:space="preserve"> l’attività produttiva metalmeccanica in </w:t>
      </w:r>
      <w:proofErr w:type="gramStart"/>
      <w:r w:rsidRPr="00DB671E">
        <w:rPr>
          <w:rFonts w:ascii="Calibri" w:hAnsi="Calibri" w:cs="Calibri"/>
          <w:b/>
          <w:bCs/>
        </w:rPr>
        <w:t>Friuli Venezia Giulia</w:t>
      </w:r>
      <w:proofErr w:type="gramEnd"/>
      <w:r w:rsidRPr="00DB671E">
        <w:rPr>
          <w:rFonts w:ascii="Calibri" w:hAnsi="Calibri" w:cs="Calibri"/>
        </w:rPr>
        <w:t xml:space="preserve"> ha continuato a risentire di un contesto economico complesso, ma con segnali di </w:t>
      </w:r>
      <w:r w:rsidRPr="00DB671E">
        <w:rPr>
          <w:rFonts w:ascii="Calibri" w:hAnsi="Calibri" w:cs="Calibri"/>
          <w:b/>
          <w:bCs/>
        </w:rPr>
        <w:t>attenuazione della fase negativa</w:t>
      </w:r>
      <w:r w:rsidRPr="00DB671E">
        <w:rPr>
          <w:rFonts w:ascii="Calibri" w:hAnsi="Calibri" w:cs="Calibri"/>
        </w:rPr>
        <w:t xml:space="preserve"> rispetto al 2024.</w:t>
      </w:r>
    </w:p>
    <w:p w14:paraId="7D27208C" w14:textId="5D9ED245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Nel </w:t>
      </w:r>
      <w:r w:rsidRPr="00DB671E">
        <w:rPr>
          <w:rFonts w:ascii="Calibri" w:hAnsi="Calibri" w:cs="Calibri"/>
          <w:b/>
          <w:bCs/>
        </w:rPr>
        <w:t>settore meccanico</w:t>
      </w:r>
      <w:r w:rsidRPr="00DB671E">
        <w:rPr>
          <w:rFonts w:ascii="Calibri" w:hAnsi="Calibri" w:cs="Calibri"/>
        </w:rPr>
        <w:t xml:space="preserve"> la produzione è diminuita del </w:t>
      </w:r>
      <w:r w:rsidRPr="00DB671E">
        <w:rPr>
          <w:rFonts w:ascii="Calibri" w:hAnsi="Calibri" w:cs="Calibri"/>
          <w:b/>
          <w:bCs/>
        </w:rPr>
        <w:t>4,2%</w:t>
      </w:r>
      <w:r w:rsidRPr="00DB671E">
        <w:rPr>
          <w:rFonts w:ascii="Calibri" w:hAnsi="Calibri" w:cs="Calibri"/>
        </w:rPr>
        <w:t xml:space="preserve">, un calo significativo ma più contenuto rispetto al </w:t>
      </w:r>
      <w:r w:rsidRPr="00DB671E">
        <w:rPr>
          <w:rFonts w:ascii="Calibri" w:hAnsi="Calibri" w:cs="Calibri"/>
          <w:b/>
          <w:bCs/>
        </w:rPr>
        <w:t>−7,2% dell’anno precedente</w:t>
      </w:r>
      <w:r w:rsidRPr="00DB671E">
        <w:rPr>
          <w:rFonts w:ascii="Calibri" w:hAnsi="Calibri" w:cs="Calibri"/>
        </w:rPr>
        <w:t xml:space="preserve">. Anche la </w:t>
      </w:r>
      <w:r w:rsidRPr="00DB671E">
        <w:rPr>
          <w:rFonts w:ascii="Calibri" w:hAnsi="Calibri" w:cs="Calibri"/>
          <w:b/>
          <w:bCs/>
        </w:rPr>
        <w:t>siderurgia</w:t>
      </w:r>
      <w:r w:rsidRPr="00DB671E">
        <w:rPr>
          <w:rFonts w:ascii="Calibri" w:hAnsi="Calibri" w:cs="Calibri"/>
        </w:rPr>
        <w:t xml:space="preserve"> resta in territorio </w:t>
      </w:r>
      <w:r w:rsidR="00AF5C52" w:rsidRPr="00DB671E">
        <w:rPr>
          <w:rFonts w:ascii="Calibri" w:hAnsi="Calibri" w:cs="Calibri"/>
        </w:rPr>
        <w:t xml:space="preserve">negativo, </w:t>
      </w:r>
      <w:r w:rsidRPr="00DB671E">
        <w:rPr>
          <w:rFonts w:ascii="Calibri" w:hAnsi="Calibri" w:cs="Calibri"/>
          <w:b/>
          <w:bCs/>
        </w:rPr>
        <w:t>−1,8%</w:t>
      </w:r>
      <w:r w:rsidRPr="00DB671E">
        <w:rPr>
          <w:rFonts w:ascii="Calibri" w:hAnsi="Calibri" w:cs="Calibri"/>
        </w:rPr>
        <w:t xml:space="preserve">, ma in miglioramento rispetto al </w:t>
      </w:r>
      <w:r w:rsidRPr="00DB671E">
        <w:rPr>
          <w:rFonts w:ascii="Calibri" w:hAnsi="Calibri" w:cs="Calibri"/>
          <w:b/>
          <w:bCs/>
        </w:rPr>
        <w:t>−3,2% del 2024</w:t>
      </w:r>
      <w:r w:rsidRPr="00DB671E">
        <w:rPr>
          <w:rFonts w:ascii="Calibri" w:hAnsi="Calibri" w:cs="Calibri"/>
        </w:rPr>
        <w:t>.</w:t>
      </w:r>
    </w:p>
    <w:p w14:paraId="61189C7C" w14:textId="4177057C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EXPORT REGIONALE: CRESCITA SOSTENUTA DALLE NAVI</w:t>
      </w:r>
    </w:p>
    <w:p w14:paraId="0838242E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Sul fronte degli scambi internazionali, il 2025 mostra andamenti molto differenziati. Nei primi nove mesi dell’anno, l’export metalmeccanico regionale ha raggiunto </w:t>
      </w:r>
      <w:r w:rsidRPr="00DB671E">
        <w:rPr>
          <w:rFonts w:ascii="Calibri" w:hAnsi="Calibri" w:cs="Calibri"/>
          <w:b/>
          <w:bCs/>
        </w:rPr>
        <w:t>10,7 miliardi di euro</w:t>
      </w:r>
      <w:r w:rsidRPr="00DB671E">
        <w:rPr>
          <w:rFonts w:ascii="Calibri" w:hAnsi="Calibri" w:cs="Calibri"/>
        </w:rPr>
        <w:t xml:space="preserve">, con un incremento del </w:t>
      </w:r>
      <w:r w:rsidRPr="00DB671E">
        <w:rPr>
          <w:rFonts w:ascii="Calibri" w:hAnsi="Calibri" w:cs="Calibri"/>
          <w:b/>
          <w:bCs/>
        </w:rPr>
        <w:t>30,4%</w:t>
      </w:r>
      <w:r w:rsidRPr="00DB671E">
        <w:rPr>
          <w:rFonts w:ascii="Calibri" w:hAnsi="Calibri" w:cs="Calibri"/>
        </w:rPr>
        <w:t xml:space="preserve"> rispetto allo stesso periodo del 2024.</w:t>
      </w:r>
    </w:p>
    <w:p w14:paraId="6CD0B819" w14:textId="7D2DC245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Questo forte aumento è però legato soprattutto alla </w:t>
      </w:r>
      <w:r w:rsidRPr="00DB671E">
        <w:rPr>
          <w:rFonts w:ascii="Calibri" w:hAnsi="Calibri" w:cs="Calibri"/>
          <w:b/>
          <w:bCs/>
        </w:rPr>
        <w:t>cantieristica navale</w:t>
      </w:r>
      <w:r w:rsidRPr="00DB671E">
        <w:rPr>
          <w:rFonts w:ascii="Calibri" w:hAnsi="Calibri" w:cs="Calibri"/>
        </w:rPr>
        <w:t xml:space="preserve">, le cui esportazioni sono cresciute da </w:t>
      </w:r>
      <w:r w:rsidRPr="00DB671E">
        <w:rPr>
          <w:rFonts w:ascii="Calibri" w:hAnsi="Calibri" w:cs="Calibri"/>
          <w:b/>
          <w:bCs/>
        </w:rPr>
        <w:t>1 a quasi 3,7 miliardi di euro</w:t>
      </w:r>
      <w:r w:rsidRPr="00DB671E">
        <w:rPr>
          <w:rFonts w:ascii="Calibri" w:hAnsi="Calibri" w:cs="Calibri"/>
        </w:rPr>
        <w:t xml:space="preserve">. Al netto delle navi, l’export metalmeccanico regionale registra invece una </w:t>
      </w:r>
      <w:r w:rsidRPr="00DB671E">
        <w:rPr>
          <w:rFonts w:ascii="Calibri" w:hAnsi="Calibri" w:cs="Calibri"/>
          <w:b/>
          <w:bCs/>
        </w:rPr>
        <w:t xml:space="preserve">lieve </w:t>
      </w:r>
      <w:proofErr w:type="gramStart"/>
      <w:r w:rsidRPr="00DB671E">
        <w:rPr>
          <w:rFonts w:ascii="Calibri" w:hAnsi="Calibri" w:cs="Calibri"/>
          <w:b/>
          <w:bCs/>
        </w:rPr>
        <w:t>flessione ,</w:t>
      </w:r>
      <w:proofErr w:type="gramEnd"/>
      <w:r w:rsidRPr="00DB671E">
        <w:rPr>
          <w:rFonts w:ascii="Calibri" w:hAnsi="Calibri" w:cs="Calibri"/>
          <w:b/>
          <w:bCs/>
        </w:rPr>
        <w:t>−1,7%</w:t>
      </w:r>
      <w:r w:rsidRPr="00DB671E">
        <w:rPr>
          <w:rFonts w:ascii="Calibri" w:hAnsi="Calibri" w:cs="Calibri"/>
        </w:rPr>
        <w:t>, risentendo della debolezza del commercio mondiale.</w:t>
      </w:r>
    </w:p>
    <w:p w14:paraId="1E338A8D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>Guardando ai singoli comparti, crescono in particolare:</w:t>
      </w:r>
    </w:p>
    <w:p w14:paraId="3A56F341" w14:textId="2229EF37" w:rsidR="002474C5" w:rsidRPr="00DB671E" w:rsidRDefault="002474C5" w:rsidP="00DB671E">
      <w:pPr>
        <w:numPr>
          <w:ilvl w:val="0"/>
          <w:numId w:val="4"/>
        </w:num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i </w:t>
      </w:r>
      <w:r w:rsidRPr="00DB671E">
        <w:rPr>
          <w:rFonts w:ascii="Calibri" w:hAnsi="Calibri" w:cs="Calibri"/>
          <w:b/>
          <w:bCs/>
        </w:rPr>
        <w:t>macchinari</w:t>
      </w:r>
      <w:r w:rsidRPr="00DB671E">
        <w:rPr>
          <w:rFonts w:ascii="Calibri" w:hAnsi="Calibri" w:cs="Calibri"/>
        </w:rPr>
        <w:t xml:space="preserve"> (+7,6%</w:t>
      </w:r>
      <w:r w:rsidR="00AF5C52" w:rsidRPr="00DB671E">
        <w:rPr>
          <w:rFonts w:ascii="Calibri" w:hAnsi="Calibri" w:cs="Calibri"/>
        </w:rPr>
        <w:t>, da 2.410 a 2.593 milioni di euro</w:t>
      </w:r>
      <w:r w:rsidRPr="00DB671E">
        <w:rPr>
          <w:rFonts w:ascii="Calibri" w:hAnsi="Calibri" w:cs="Calibri"/>
        </w:rPr>
        <w:t>);</w:t>
      </w:r>
    </w:p>
    <w:p w14:paraId="34BEC8A6" w14:textId="1A605AAA" w:rsidR="002474C5" w:rsidRPr="00DB671E" w:rsidRDefault="002474C5" w:rsidP="00DB671E">
      <w:pPr>
        <w:numPr>
          <w:ilvl w:val="0"/>
          <w:numId w:val="4"/>
        </w:num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le </w:t>
      </w:r>
      <w:r w:rsidRPr="00DB671E">
        <w:rPr>
          <w:rFonts w:ascii="Calibri" w:hAnsi="Calibri" w:cs="Calibri"/>
          <w:b/>
          <w:bCs/>
        </w:rPr>
        <w:t>apparecchiature elettriche</w:t>
      </w:r>
      <w:r w:rsidRPr="00DB671E">
        <w:rPr>
          <w:rFonts w:ascii="Calibri" w:hAnsi="Calibri" w:cs="Calibri"/>
        </w:rPr>
        <w:t xml:space="preserve"> (+12,6%</w:t>
      </w:r>
      <w:r w:rsidR="00AF5C52" w:rsidRPr="00DB671E">
        <w:rPr>
          <w:rFonts w:ascii="Calibri" w:hAnsi="Calibri" w:cs="Calibri"/>
        </w:rPr>
        <w:t>, da 690 a 776 milioni di euro</w:t>
      </w:r>
      <w:r w:rsidRPr="00DB671E">
        <w:rPr>
          <w:rFonts w:ascii="Calibri" w:hAnsi="Calibri" w:cs="Calibri"/>
        </w:rPr>
        <w:t>).</w:t>
      </w:r>
    </w:p>
    <w:p w14:paraId="16245F73" w14:textId="18B866C8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In calo risultano invece i </w:t>
      </w:r>
      <w:r w:rsidRPr="00DB671E">
        <w:rPr>
          <w:rFonts w:ascii="Calibri" w:hAnsi="Calibri" w:cs="Calibri"/>
          <w:b/>
          <w:bCs/>
        </w:rPr>
        <w:t>prodotti della metallurgia</w:t>
      </w:r>
      <w:r w:rsidR="00AF5C52" w:rsidRPr="00DB671E">
        <w:rPr>
          <w:rFonts w:ascii="Calibri" w:hAnsi="Calibri" w:cs="Calibri"/>
          <w:b/>
          <w:bCs/>
        </w:rPr>
        <w:t xml:space="preserve"> </w:t>
      </w:r>
      <w:r w:rsidR="00AF5C52" w:rsidRPr="00DB671E">
        <w:rPr>
          <w:rFonts w:ascii="Calibri" w:hAnsi="Calibri" w:cs="Calibri"/>
        </w:rPr>
        <w:t>(-0,8%, da 2.268 a 2.251 milioni di euro)</w:t>
      </w:r>
      <w:r w:rsidRPr="00DB671E">
        <w:rPr>
          <w:rFonts w:ascii="Calibri" w:hAnsi="Calibri" w:cs="Calibri"/>
        </w:rPr>
        <w:t xml:space="preserve">, i </w:t>
      </w:r>
      <w:r w:rsidRPr="00DB671E">
        <w:rPr>
          <w:rFonts w:ascii="Calibri" w:hAnsi="Calibri" w:cs="Calibri"/>
          <w:b/>
          <w:bCs/>
        </w:rPr>
        <w:t>prodotti in metallo</w:t>
      </w:r>
      <w:r w:rsidRPr="00DB671E">
        <w:rPr>
          <w:rFonts w:ascii="Calibri" w:hAnsi="Calibri" w:cs="Calibri"/>
        </w:rPr>
        <w:t xml:space="preserve"> e</w:t>
      </w:r>
      <w:r w:rsidR="00AF5C52" w:rsidRPr="00DB671E">
        <w:rPr>
          <w:rFonts w:ascii="Calibri" w:hAnsi="Calibri" w:cs="Calibri"/>
        </w:rPr>
        <w:t xml:space="preserve"> </w:t>
      </w:r>
      <w:r w:rsidRPr="00DB671E">
        <w:rPr>
          <w:rFonts w:ascii="Calibri" w:hAnsi="Calibri" w:cs="Calibri"/>
        </w:rPr>
        <w:t xml:space="preserve">i </w:t>
      </w:r>
      <w:r w:rsidRPr="00DB671E">
        <w:rPr>
          <w:rFonts w:ascii="Calibri" w:hAnsi="Calibri" w:cs="Calibri"/>
          <w:b/>
          <w:bCs/>
        </w:rPr>
        <w:t>computer e l’elettronica</w:t>
      </w:r>
      <w:r w:rsidRPr="00DB671E">
        <w:rPr>
          <w:rFonts w:ascii="Calibri" w:hAnsi="Calibri" w:cs="Calibri"/>
        </w:rPr>
        <w:t xml:space="preserve"> (−46,5%).</w:t>
      </w:r>
    </w:p>
    <w:p w14:paraId="0C6E7BC6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C20BBB">
        <w:rPr>
          <w:rFonts w:ascii="Calibri" w:hAnsi="Calibri" w:cs="Calibri"/>
        </w:rPr>
        <w:lastRenderedPageBreak/>
        <w:t xml:space="preserve">Nel complesso, la metalmeccanica genera </w:t>
      </w:r>
      <w:r w:rsidRPr="00C20BBB">
        <w:rPr>
          <w:rFonts w:ascii="Calibri" w:hAnsi="Calibri" w:cs="Calibri"/>
          <w:b/>
          <w:bCs/>
        </w:rPr>
        <w:t>oltre due terzi dell’export regionale (67,1%)</w:t>
      </w:r>
      <w:r w:rsidRPr="00C20BBB">
        <w:rPr>
          <w:rFonts w:ascii="Calibri" w:hAnsi="Calibri" w:cs="Calibri"/>
        </w:rPr>
        <w:t xml:space="preserve">, quota che in provincia di Udine si attesta al </w:t>
      </w:r>
      <w:r w:rsidRPr="00C20BBB">
        <w:rPr>
          <w:rFonts w:ascii="Calibri" w:hAnsi="Calibri" w:cs="Calibri"/>
          <w:b/>
          <w:bCs/>
        </w:rPr>
        <w:t>65,4%</w:t>
      </w:r>
      <w:r w:rsidRPr="00C20BBB">
        <w:rPr>
          <w:rFonts w:ascii="Calibri" w:hAnsi="Calibri" w:cs="Calibri"/>
        </w:rPr>
        <w:t>.</w:t>
      </w:r>
    </w:p>
    <w:p w14:paraId="058F08DD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Tra i principali mercati di destinazione regionali spiccano le forti crescite verso </w:t>
      </w:r>
      <w:r w:rsidRPr="00DB671E">
        <w:rPr>
          <w:rFonts w:ascii="Calibri" w:hAnsi="Calibri" w:cs="Calibri"/>
          <w:b/>
          <w:bCs/>
        </w:rPr>
        <w:t>Stati Uniti (+72,6%)</w:t>
      </w:r>
      <w:r w:rsidRPr="00DB671E">
        <w:rPr>
          <w:rFonts w:ascii="Calibri" w:hAnsi="Calibri" w:cs="Calibri"/>
        </w:rPr>
        <w:t xml:space="preserve"> e </w:t>
      </w:r>
      <w:r w:rsidRPr="00DB671E">
        <w:rPr>
          <w:rFonts w:ascii="Calibri" w:hAnsi="Calibri" w:cs="Calibri"/>
          <w:b/>
          <w:bCs/>
        </w:rPr>
        <w:t>Germania (+109,7%)</w:t>
      </w:r>
      <w:r w:rsidRPr="00DB671E">
        <w:rPr>
          <w:rFonts w:ascii="Calibri" w:hAnsi="Calibri" w:cs="Calibri"/>
        </w:rPr>
        <w:t xml:space="preserve">, mentre si registra una riduzione delle vendite verso la </w:t>
      </w:r>
      <w:r w:rsidRPr="00DB671E">
        <w:rPr>
          <w:rFonts w:ascii="Calibri" w:hAnsi="Calibri" w:cs="Calibri"/>
          <w:b/>
          <w:bCs/>
        </w:rPr>
        <w:t>Francia</w:t>
      </w:r>
      <w:r w:rsidRPr="00DB671E">
        <w:rPr>
          <w:rFonts w:ascii="Calibri" w:hAnsi="Calibri" w:cs="Calibri"/>
        </w:rPr>
        <w:t>.</w:t>
      </w:r>
    </w:p>
    <w:p w14:paraId="5B53C706" w14:textId="21BB2600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CASSA INTEGRAZIONE: LIEVE CALO COMPLESSIVO</w:t>
      </w:r>
    </w:p>
    <w:p w14:paraId="3807089F" w14:textId="2F612D20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Nel periodo </w:t>
      </w:r>
      <w:r w:rsidRPr="00DB671E">
        <w:rPr>
          <w:rFonts w:ascii="Calibri" w:hAnsi="Calibri" w:cs="Calibri"/>
          <w:b/>
          <w:bCs/>
        </w:rPr>
        <w:t>gennaio–settembre 2025</w:t>
      </w:r>
      <w:r w:rsidRPr="00DB671E">
        <w:rPr>
          <w:rFonts w:ascii="Calibri" w:hAnsi="Calibri" w:cs="Calibri"/>
        </w:rPr>
        <w:t xml:space="preserve">, le ore di </w:t>
      </w:r>
      <w:r w:rsidRPr="00DB671E">
        <w:rPr>
          <w:rFonts w:ascii="Calibri" w:hAnsi="Calibri" w:cs="Calibri"/>
          <w:b/>
          <w:bCs/>
        </w:rPr>
        <w:t xml:space="preserve">Cassa </w:t>
      </w:r>
      <w:r w:rsidR="00630D3F">
        <w:rPr>
          <w:rFonts w:ascii="Calibri" w:hAnsi="Calibri" w:cs="Calibri"/>
          <w:b/>
          <w:bCs/>
        </w:rPr>
        <w:t>i</w:t>
      </w:r>
      <w:r w:rsidRPr="00DB671E">
        <w:rPr>
          <w:rFonts w:ascii="Calibri" w:hAnsi="Calibri" w:cs="Calibri"/>
          <w:b/>
          <w:bCs/>
        </w:rPr>
        <w:t xml:space="preserve">ntegrazione </w:t>
      </w:r>
      <w:r w:rsidR="00630D3F">
        <w:rPr>
          <w:rFonts w:ascii="Calibri" w:hAnsi="Calibri" w:cs="Calibri"/>
          <w:b/>
          <w:bCs/>
        </w:rPr>
        <w:t>g</w:t>
      </w:r>
      <w:r w:rsidRPr="00DB671E">
        <w:rPr>
          <w:rFonts w:ascii="Calibri" w:hAnsi="Calibri" w:cs="Calibri"/>
          <w:b/>
          <w:bCs/>
        </w:rPr>
        <w:t>uadagni</w:t>
      </w:r>
      <w:r w:rsidRPr="00DB671E">
        <w:rPr>
          <w:rFonts w:ascii="Calibri" w:hAnsi="Calibri" w:cs="Calibri"/>
        </w:rPr>
        <w:t xml:space="preserve"> autorizzate per il comparto metalmeccanico in </w:t>
      </w:r>
      <w:proofErr w:type="gramStart"/>
      <w:r w:rsidRPr="00DB671E">
        <w:rPr>
          <w:rFonts w:ascii="Calibri" w:hAnsi="Calibri" w:cs="Calibri"/>
        </w:rPr>
        <w:t>Friuli Venezia Giulia</w:t>
      </w:r>
      <w:proofErr w:type="gramEnd"/>
      <w:r w:rsidRPr="00DB671E">
        <w:rPr>
          <w:rFonts w:ascii="Calibri" w:hAnsi="Calibri" w:cs="Calibri"/>
        </w:rPr>
        <w:t xml:space="preserve"> sono state </w:t>
      </w:r>
      <w:r w:rsidRPr="00DB671E">
        <w:rPr>
          <w:rFonts w:ascii="Calibri" w:hAnsi="Calibri" w:cs="Calibri"/>
          <w:b/>
          <w:bCs/>
        </w:rPr>
        <w:t>circa 5,9 milioni</w:t>
      </w:r>
      <w:r w:rsidRPr="00DB671E">
        <w:rPr>
          <w:rFonts w:ascii="Calibri" w:hAnsi="Calibri" w:cs="Calibri"/>
        </w:rPr>
        <w:t>, in lieve diminuzione (</w:t>
      </w:r>
      <w:r w:rsidRPr="00DB671E">
        <w:rPr>
          <w:rFonts w:ascii="Calibri" w:hAnsi="Calibri" w:cs="Calibri"/>
          <w:b/>
          <w:bCs/>
        </w:rPr>
        <w:t>−1,8%</w:t>
      </w:r>
      <w:r w:rsidRPr="00DB671E">
        <w:rPr>
          <w:rFonts w:ascii="Calibri" w:hAnsi="Calibri" w:cs="Calibri"/>
        </w:rPr>
        <w:t>) rispetto allo stesso periodo del 2024.</w:t>
      </w:r>
    </w:p>
    <w:p w14:paraId="00E294A1" w14:textId="77777777" w:rsidR="002474C5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Alla riduzione della </w:t>
      </w:r>
      <w:r w:rsidRPr="00DB671E">
        <w:rPr>
          <w:rFonts w:ascii="Calibri" w:hAnsi="Calibri" w:cs="Calibri"/>
          <w:b/>
          <w:bCs/>
        </w:rPr>
        <w:t>CIG ordinaria (−12,5%)</w:t>
      </w:r>
      <w:r w:rsidRPr="00DB671E">
        <w:rPr>
          <w:rFonts w:ascii="Calibri" w:hAnsi="Calibri" w:cs="Calibri"/>
        </w:rPr>
        <w:t xml:space="preserve"> si affianca però un aumento della </w:t>
      </w:r>
      <w:r w:rsidRPr="00DB671E">
        <w:rPr>
          <w:rFonts w:ascii="Calibri" w:hAnsi="Calibri" w:cs="Calibri"/>
          <w:b/>
          <w:bCs/>
        </w:rPr>
        <w:t>CIG straordinaria (+36,5%)</w:t>
      </w:r>
      <w:r w:rsidRPr="00DB671E">
        <w:rPr>
          <w:rFonts w:ascii="Calibri" w:hAnsi="Calibri" w:cs="Calibri"/>
        </w:rPr>
        <w:t>, segnale di processi di riorganizzazione e aggiustamento ancora in corso in alcune realtà aziendali.</w:t>
      </w:r>
    </w:p>
    <w:p w14:paraId="35B2167C" w14:textId="52D1310B" w:rsidR="00DB671E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PROSPETTIVE</w:t>
      </w:r>
    </w:p>
    <w:p w14:paraId="0C156F23" w14:textId="77777777" w:rsidR="00DB671E" w:rsidRPr="00DB671E" w:rsidRDefault="00DB671E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L’industria metalmeccanica del </w:t>
      </w:r>
      <w:proofErr w:type="gramStart"/>
      <w:r w:rsidRPr="00DB671E">
        <w:rPr>
          <w:rFonts w:ascii="Calibri" w:hAnsi="Calibri" w:cs="Calibri"/>
        </w:rPr>
        <w:t>Friuli Venezia Giulia</w:t>
      </w:r>
      <w:proofErr w:type="gramEnd"/>
      <w:r w:rsidRPr="00DB671E">
        <w:rPr>
          <w:rFonts w:ascii="Calibri" w:hAnsi="Calibri" w:cs="Calibri"/>
        </w:rPr>
        <w:t xml:space="preserve"> e della provincia di Udine si confronta ancora con un quadro internazionale caratterizzato da </w:t>
      </w:r>
      <w:r w:rsidRPr="00DB671E">
        <w:rPr>
          <w:rFonts w:ascii="Calibri" w:hAnsi="Calibri" w:cs="Calibri"/>
          <w:b/>
          <w:bCs/>
        </w:rPr>
        <w:t>forte incertezza</w:t>
      </w:r>
      <w:r w:rsidRPr="00DB671E">
        <w:rPr>
          <w:rFonts w:ascii="Calibri" w:hAnsi="Calibri" w:cs="Calibri"/>
        </w:rPr>
        <w:t>, tra tensioni geopolitiche, conflitti e barriere commerciali.</w:t>
      </w:r>
    </w:p>
    <w:p w14:paraId="2D554E42" w14:textId="77777777" w:rsidR="00DB671E" w:rsidRPr="00DB671E" w:rsidRDefault="00DB671E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Le indicazioni provenienti dalle imprese suggeriscono tuttavia che il </w:t>
      </w:r>
      <w:r w:rsidRPr="00DB671E">
        <w:rPr>
          <w:rFonts w:ascii="Calibri" w:hAnsi="Calibri" w:cs="Calibri"/>
          <w:b/>
          <w:bCs/>
        </w:rPr>
        <w:t>punto più basso del ciclo economico potrebbe essere stato raggiunto</w:t>
      </w:r>
      <w:r w:rsidRPr="00DB671E">
        <w:rPr>
          <w:rFonts w:ascii="Calibri" w:hAnsi="Calibri" w:cs="Calibri"/>
        </w:rPr>
        <w:t xml:space="preserve">. Gli ordini mostrano segnali di </w:t>
      </w:r>
      <w:r w:rsidRPr="00DB671E">
        <w:rPr>
          <w:rFonts w:ascii="Calibri" w:hAnsi="Calibri" w:cs="Calibri"/>
          <w:b/>
          <w:bCs/>
        </w:rPr>
        <w:t>lenta ripresa</w:t>
      </w:r>
      <w:r w:rsidRPr="00DB671E">
        <w:rPr>
          <w:rFonts w:ascii="Calibri" w:hAnsi="Calibri" w:cs="Calibri"/>
        </w:rPr>
        <w:t xml:space="preserve"> e le aspettative sono orientate verso un </w:t>
      </w:r>
      <w:r w:rsidRPr="00DB671E">
        <w:rPr>
          <w:rFonts w:ascii="Calibri" w:hAnsi="Calibri" w:cs="Calibri"/>
          <w:b/>
          <w:bCs/>
        </w:rPr>
        <w:t>ritorno a una crescita della produzione nel corso del 2026</w:t>
      </w:r>
      <w:r w:rsidRPr="00DB671E">
        <w:rPr>
          <w:rFonts w:ascii="Calibri" w:hAnsi="Calibri" w:cs="Calibri"/>
        </w:rPr>
        <w:t>.</w:t>
      </w:r>
    </w:p>
    <w:p w14:paraId="3CA80AD3" w14:textId="77777777" w:rsidR="00DB671E" w:rsidRPr="00DB671E" w:rsidRDefault="00DB671E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>La domanda interna resta debole, mentre l’</w:t>
      </w:r>
      <w:r w:rsidRPr="00DB671E">
        <w:rPr>
          <w:rFonts w:ascii="Calibri" w:hAnsi="Calibri" w:cs="Calibri"/>
          <w:b/>
          <w:bCs/>
        </w:rPr>
        <w:t>export</w:t>
      </w:r>
      <w:r w:rsidRPr="00DB671E">
        <w:rPr>
          <w:rFonts w:ascii="Calibri" w:hAnsi="Calibri" w:cs="Calibri"/>
        </w:rPr>
        <w:t xml:space="preserve">, soprattutto nei settori a maggiore contenuto tecnologico, continua a rappresentare il principale motore di sviluppo. Sarà inoltre </w:t>
      </w:r>
      <w:r w:rsidRPr="00630D3F">
        <w:rPr>
          <w:rFonts w:ascii="Calibri" w:hAnsi="Calibri" w:cs="Calibri"/>
          <w:b/>
          <w:bCs/>
        </w:rPr>
        <w:t>determinante l’evoluzione dell’economia tedesca</w:t>
      </w:r>
      <w:r w:rsidRPr="00DB671E">
        <w:rPr>
          <w:rFonts w:ascii="Calibri" w:hAnsi="Calibri" w:cs="Calibri"/>
        </w:rPr>
        <w:t>, che dopo due anni di contrazione è tornata a crescere, con prospettive di ulteriore rafforzamento nel prossimo biennio.</w:t>
      </w:r>
    </w:p>
    <w:p w14:paraId="09484CAC" w14:textId="6A6E4E59" w:rsidR="00DB671E" w:rsidRPr="00DB671E" w:rsidRDefault="00DB671E" w:rsidP="00DB671E">
      <w:pPr>
        <w:spacing w:after="80" w:line="240" w:lineRule="auto"/>
        <w:rPr>
          <w:rFonts w:ascii="Arial" w:hAnsi="Arial" w:cs="Arial"/>
        </w:rPr>
      </w:pPr>
      <w:r w:rsidRPr="00DB671E">
        <w:rPr>
          <w:rFonts w:ascii="Calibri" w:hAnsi="Calibri" w:cs="Calibri"/>
        </w:rPr>
        <w:t xml:space="preserve">Per sostenere una crescita più solida e duratura, il comparto metalmeccanico dovrà continuare a investire in </w:t>
      </w:r>
      <w:r w:rsidRPr="00DB671E">
        <w:rPr>
          <w:rFonts w:ascii="Calibri" w:hAnsi="Calibri" w:cs="Calibri"/>
          <w:b/>
          <w:bCs/>
        </w:rPr>
        <w:t>produttività, innovazione e internazionalizzazione</w:t>
      </w:r>
      <w:r w:rsidRPr="00DB671E">
        <w:rPr>
          <w:rFonts w:ascii="Calibri" w:hAnsi="Calibri" w:cs="Calibri"/>
        </w:rPr>
        <w:t xml:space="preserve">, affiancando questi processi a un impegno costante per la </w:t>
      </w:r>
      <w:r w:rsidRPr="00DB671E">
        <w:rPr>
          <w:rFonts w:ascii="Calibri" w:hAnsi="Calibri" w:cs="Calibri"/>
          <w:b/>
          <w:bCs/>
        </w:rPr>
        <w:t>riduzione dei costi di produzione</w:t>
      </w:r>
      <w:r w:rsidRPr="00DB671E">
        <w:rPr>
          <w:rFonts w:ascii="Calibri" w:hAnsi="Calibri" w:cs="Calibri"/>
        </w:rPr>
        <w:t>, in particolare quelli energetici e delle materie prime.</w:t>
      </w:r>
    </w:p>
    <w:p w14:paraId="0F6CA84D" w14:textId="059364EE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</w:p>
    <w:p w14:paraId="56815436" w14:textId="13B97445" w:rsidR="002474C5" w:rsidRPr="00570984" w:rsidRDefault="00DB671E" w:rsidP="00DB671E">
      <w:pPr>
        <w:spacing w:after="80" w:line="240" w:lineRule="auto"/>
        <w:jc w:val="center"/>
        <w:rPr>
          <w:rFonts w:ascii="Calibri" w:hAnsi="Calibri" w:cs="Calibri"/>
          <w:b/>
          <w:bCs/>
          <w:color w:val="EE0000"/>
          <w:sz w:val="32"/>
          <w:szCs w:val="32"/>
        </w:rPr>
      </w:pPr>
      <w:r w:rsidRPr="00570984">
        <w:rPr>
          <w:rFonts w:ascii="Calibri" w:hAnsi="Calibri" w:cs="Calibri"/>
          <w:b/>
          <w:bCs/>
          <w:color w:val="EE0000"/>
          <w:sz w:val="32"/>
          <w:szCs w:val="32"/>
        </w:rPr>
        <w:t>FOCUS: LA METALMECCANICA IN PROVINCIA DI UDINE</w:t>
      </w:r>
    </w:p>
    <w:p w14:paraId="3A887079" w14:textId="0B4E8516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>In provincia di Udine, la produzione del comparto meccanico nei primi nove mesi del 2025 mostra un andamento</w:t>
      </w:r>
      <w:r w:rsidR="00AF5C52" w:rsidRPr="00DB671E">
        <w:rPr>
          <w:rFonts w:ascii="Calibri" w:hAnsi="Calibri" w:cs="Calibri"/>
        </w:rPr>
        <w:t xml:space="preserve"> tendenziale</w:t>
      </w:r>
      <w:r w:rsidRPr="00DB671E">
        <w:rPr>
          <w:rFonts w:ascii="Calibri" w:hAnsi="Calibri" w:cs="Calibri"/>
        </w:rPr>
        <w:t xml:space="preserve"> in graduale miglioramento. Dopo risultati negativi nel primo (−1,7%) e nel secondo trimestre (−0,9%), il </w:t>
      </w:r>
      <w:r w:rsidRPr="00DB671E">
        <w:rPr>
          <w:rFonts w:ascii="Calibri" w:hAnsi="Calibri" w:cs="Calibri"/>
          <w:b/>
          <w:bCs/>
        </w:rPr>
        <w:t>terzo trimestre segna un lieve recupero (+0,2%)</w:t>
      </w:r>
      <w:r w:rsidRPr="00DB671E">
        <w:rPr>
          <w:rFonts w:ascii="Calibri" w:hAnsi="Calibri" w:cs="Calibri"/>
        </w:rPr>
        <w:t xml:space="preserve">. Complessivamente, la produzione risulta in calo dello </w:t>
      </w:r>
      <w:r w:rsidRPr="00DB671E">
        <w:rPr>
          <w:rFonts w:ascii="Calibri" w:hAnsi="Calibri" w:cs="Calibri"/>
          <w:b/>
          <w:bCs/>
        </w:rPr>
        <w:t>0,8%</w:t>
      </w:r>
      <w:r w:rsidRPr="00DB671E">
        <w:rPr>
          <w:rFonts w:ascii="Calibri" w:hAnsi="Calibri" w:cs="Calibri"/>
        </w:rPr>
        <w:t xml:space="preserve">, un dato migliore rispetto al </w:t>
      </w:r>
      <w:r w:rsidRPr="00DB671E">
        <w:rPr>
          <w:rFonts w:ascii="Calibri" w:hAnsi="Calibri" w:cs="Calibri"/>
          <w:b/>
          <w:bCs/>
        </w:rPr>
        <w:t>−1,9% registrato nel 2024</w:t>
      </w:r>
      <w:r w:rsidRPr="00DB671E">
        <w:rPr>
          <w:rFonts w:ascii="Calibri" w:hAnsi="Calibri" w:cs="Calibri"/>
        </w:rPr>
        <w:t>.</w:t>
      </w:r>
    </w:p>
    <w:p w14:paraId="1F4FB3D1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Più difficile, invece, la situazione della </w:t>
      </w:r>
      <w:r w:rsidRPr="00DB671E">
        <w:rPr>
          <w:rFonts w:ascii="Calibri" w:hAnsi="Calibri" w:cs="Calibri"/>
          <w:b/>
          <w:bCs/>
        </w:rPr>
        <w:t>siderurgia</w:t>
      </w:r>
      <w:r w:rsidRPr="00DB671E">
        <w:rPr>
          <w:rFonts w:ascii="Calibri" w:hAnsi="Calibri" w:cs="Calibri"/>
        </w:rPr>
        <w:t xml:space="preserve">, che continua a registrare cali in tutti i trimestri del 2025, con una contrazione complessiva del </w:t>
      </w:r>
      <w:r w:rsidRPr="00DB671E">
        <w:rPr>
          <w:rFonts w:ascii="Calibri" w:hAnsi="Calibri" w:cs="Calibri"/>
          <w:b/>
          <w:bCs/>
        </w:rPr>
        <w:t>−2,4%</w:t>
      </w:r>
      <w:r w:rsidRPr="00DB671E">
        <w:rPr>
          <w:rFonts w:ascii="Calibri" w:hAnsi="Calibri" w:cs="Calibri"/>
        </w:rPr>
        <w:t>.</w:t>
      </w:r>
    </w:p>
    <w:p w14:paraId="4FB214F1" w14:textId="096B976F" w:rsidR="002474C5" w:rsidRPr="00DB671E" w:rsidRDefault="00DB671E" w:rsidP="00DB671E">
      <w:pPr>
        <w:spacing w:after="80" w:line="240" w:lineRule="auto"/>
        <w:rPr>
          <w:rFonts w:ascii="Calibri" w:hAnsi="Calibri" w:cs="Calibri"/>
          <w:b/>
          <w:bCs/>
          <w:color w:val="004F88"/>
        </w:rPr>
      </w:pPr>
      <w:r w:rsidRPr="00DB671E">
        <w:rPr>
          <w:rFonts w:ascii="Calibri" w:hAnsi="Calibri" w:cs="Calibri"/>
          <w:b/>
          <w:bCs/>
          <w:color w:val="004F88"/>
        </w:rPr>
        <w:t>EXPORT PROVINCIALE: CRESCITA</w:t>
      </w:r>
      <w:r>
        <w:rPr>
          <w:rFonts w:ascii="Calibri" w:hAnsi="Calibri" w:cs="Calibri"/>
          <w:b/>
          <w:bCs/>
          <w:color w:val="004F88"/>
        </w:rPr>
        <w:t xml:space="preserve"> MODERATA</w:t>
      </w:r>
    </w:p>
    <w:p w14:paraId="7DDA4E58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>Nonostante il contesto internazionale incerto, le esportazioni metalmeccaniche della provincia di Udine nei primi nove mesi del 2025 sono aumentate dell’</w:t>
      </w:r>
      <w:r w:rsidRPr="00DB671E">
        <w:rPr>
          <w:rFonts w:ascii="Calibri" w:hAnsi="Calibri" w:cs="Calibri"/>
          <w:b/>
          <w:bCs/>
        </w:rPr>
        <w:t>1,8%</w:t>
      </w:r>
      <w:r w:rsidRPr="00DB671E">
        <w:rPr>
          <w:rFonts w:ascii="Calibri" w:hAnsi="Calibri" w:cs="Calibri"/>
        </w:rPr>
        <w:t xml:space="preserve">, raggiungendo </w:t>
      </w:r>
      <w:r w:rsidRPr="00DB671E">
        <w:rPr>
          <w:rFonts w:ascii="Calibri" w:hAnsi="Calibri" w:cs="Calibri"/>
          <w:b/>
          <w:bCs/>
        </w:rPr>
        <w:t>3,57 miliardi di euro</w:t>
      </w:r>
      <w:r w:rsidRPr="00DB671E">
        <w:rPr>
          <w:rFonts w:ascii="Calibri" w:hAnsi="Calibri" w:cs="Calibri"/>
        </w:rPr>
        <w:t>.</w:t>
      </w:r>
    </w:p>
    <w:p w14:paraId="3AFC7C48" w14:textId="77777777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>La crescita è trainata soprattutto da:</w:t>
      </w:r>
    </w:p>
    <w:p w14:paraId="0338A8CE" w14:textId="0F70566B" w:rsidR="002474C5" w:rsidRPr="00DB671E" w:rsidRDefault="002474C5" w:rsidP="00DB671E">
      <w:pPr>
        <w:numPr>
          <w:ilvl w:val="0"/>
          <w:numId w:val="5"/>
        </w:num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  <w:b/>
          <w:bCs/>
        </w:rPr>
        <w:t>apparecchiature elettriche</w:t>
      </w:r>
      <w:r w:rsidRPr="00DB671E">
        <w:rPr>
          <w:rFonts w:ascii="Calibri" w:hAnsi="Calibri" w:cs="Calibri"/>
        </w:rPr>
        <w:t xml:space="preserve"> (+36,4%</w:t>
      </w:r>
      <w:r w:rsidR="00984D1A" w:rsidRPr="00DB671E">
        <w:rPr>
          <w:rFonts w:ascii="Calibri" w:hAnsi="Calibri" w:cs="Calibri"/>
        </w:rPr>
        <w:t>, da 240 a 328 milioni di euro</w:t>
      </w:r>
      <w:r w:rsidRPr="00DB671E">
        <w:rPr>
          <w:rFonts w:ascii="Calibri" w:hAnsi="Calibri" w:cs="Calibri"/>
        </w:rPr>
        <w:t>);</w:t>
      </w:r>
    </w:p>
    <w:p w14:paraId="2FB0A7BA" w14:textId="10251064" w:rsidR="002474C5" w:rsidRPr="00DB671E" w:rsidRDefault="002474C5" w:rsidP="00DB671E">
      <w:pPr>
        <w:numPr>
          <w:ilvl w:val="0"/>
          <w:numId w:val="5"/>
        </w:num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  <w:b/>
          <w:bCs/>
        </w:rPr>
        <w:t>macchinari</w:t>
      </w:r>
      <w:r w:rsidRPr="00DB671E">
        <w:rPr>
          <w:rFonts w:ascii="Calibri" w:hAnsi="Calibri" w:cs="Calibri"/>
        </w:rPr>
        <w:t xml:space="preserve"> (+3,4%</w:t>
      </w:r>
      <w:r w:rsidR="00984D1A" w:rsidRPr="00DB671E">
        <w:rPr>
          <w:rFonts w:ascii="Calibri" w:hAnsi="Calibri" w:cs="Calibri"/>
        </w:rPr>
        <w:t>, da 1.210 a1.250 milioni di euro</w:t>
      </w:r>
      <w:r w:rsidRPr="00DB671E">
        <w:rPr>
          <w:rFonts w:ascii="Calibri" w:hAnsi="Calibri" w:cs="Calibri"/>
        </w:rPr>
        <w:t>).</w:t>
      </w:r>
    </w:p>
    <w:p w14:paraId="271F4997" w14:textId="4F5F7FAF" w:rsidR="002474C5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In diminuzione risultano invece le esportazioni di </w:t>
      </w:r>
      <w:r w:rsidRPr="00DB671E">
        <w:rPr>
          <w:rFonts w:ascii="Calibri" w:hAnsi="Calibri" w:cs="Calibri"/>
          <w:b/>
          <w:bCs/>
        </w:rPr>
        <w:t>metallurgia</w:t>
      </w:r>
      <w:r w:rsidR="00984D1A" w:rsidRPr="00DB671E">
        <w:rPr>
          <w:rFonts w:ascii="Calibri" w:hAnsi="Calibri" w:cs="Calibri"/>
          <w:b/>
          <w:bCs/>
        </w:rPr>
        <w:t xml:space="preserve"> </w:t>
      </w:r>
      <w:r w:rsidR="00984D1A" w:rsidRPr="00DB671E">
        <w:rPr>
          <w:rFonts w:ascii="Calibri" w:hAnsi="Calibri" w:cs="Calibri"/>
        </w:rPr>
        <w:t>(-3,2%, da 1.436 a 1.390 milioni di euro)</w:t>
      </w:r>
      <w:r w:rsidRPr="00DB671E">
        <w:rPr>
          <w:rFonts w:ascii="Calibri" w:hAnsi="Calibri" w:cs="Calibri"/>
        </w:rPr>
        <w:t xml:space="preserve"> ed </w:t>
      </w:r>
      <w:r w:rsidRPr="00DB671E">
        <w:rPr>
          <w:rFonts w:ascii="Calibri" w:hAnsi="Calibri" w:cs="Calibri"/>
          <w:b/>
          <w:bCs/>
        </w:rPr>
        <w:t>elettronica</w:t>
      </w:r>
      <w:r w:rsidR="00984D1A" w:rsidRPr="00DB671E">
        <w:rPr>
          <w:rFonts w:ascii="Calibri" w:hAnsi="Calibri" w:cs="Calibri"/>
        </w:rPr>
        <w:t xml:space="preserve"> (-15,8%, da 137 a 115 milioni di euro).</w:t>
      </w:r>
    </w:p>
    <w:p w14:paraId="60A112F5" w14:textId="20EA438D" w:rsidR="00DB671E" w:rsidRPr="00DB671E" w:rsidRDefault="002474C5" w:rsidP="00DB671E">
      <w:pPr>
        <w:spacing w:after="80" w:line="240" w:lineRule="auto"/>
        <w:rPr>
          <w:rFonts w:ascii="Calibri" w:hAnsi="Calibri" w:cs="Calibri"/>
        </w:rPr>
      </w:pPr>
      <w:r w:rsidRPr="00DB671E">
        <w:rPr>
          <w:rFonts w:ascii="Calibri" w:hAnsi="Calibri" w:cs="Calibri"/>
        </w:rPr>
        <w:t xml:space="preserve">Per quanto riguarda i mercati esteri, si osserva una flessione delle vendite verso </w:t>
      </w:r>
      <w:r w:rsidRPr="00DB671E">
        <w:rPr>
          <w:rFonts w:ascii="Calibri" w:hAnsi="Calibri" w:cs="Calibri"/>
          <w:b/>
          <w:bCs/>
        </w:rPr>
        <w:t>Germania, Stati Uniti e Francia</w:t>
      </w:r>
      <w:r w:rsidRPr="00DB671E">
        <w:rPr>
          <w:rFonts w:ascii="Calibri" w:hAnsi="Calibri" w:cs="Calibri"/>
        </w:rPr>
        <w:t xml:space="preserve">, a fronte di una dinamica positiva verso </w:t>
      </w:r>
      <w:r w:rsidR="00984D1A" w:rsidRPr="00DB671E">
        <w:rPr>
          <w:rFonts w:ascii="Calibri" w:hAnsi="Calibri" w:cs="Calibri"/>
          <w:b/>
          <w:bCs/>
        </w:rPr>
        <w:t xml:space="preserve">Austria </w:t>
      </w:r>
      <w:r w:rsidR="00984D1A" w:rsidRPr="00DB671E">
        <w:rPr>
          <w:rFonts w:ascii="Calibri" w:hAnsi="Calibri" w:cs="Calibri"/>
        </w:rPr>
        <w:t>e</w:t>
      </w:r>
      <w:r w:rsidR="00984D1A" w:rsidRPr="00DB671E">
        <w:rPr>
          <w:rFonts w:ascii="Calibri" w:hAnsi="Calibri" w:cs="Calibri"/>
          <w:b/>
          <w:bCs/>
        </w:rPr>
        <w:t xml:space="preserve"> Turchia</w:t>
      </w:r>
      <w:r w:rsidR="00984D1A" w:rsidRPr="00DB671E">
        <w:rPr>
          <w:rFonts w:ascii="Calibri" w:hAnsi="Calibri" w:cs="Calibri"/>
        </w:rPr>
        <w:t>.</w:t>
      </w:r>
    </w:p>
    <w:p w14:paraId="3AE6035C" w14:textId="77777777" w:rsidR="0001380B" w:rsidRPr="00DB671E" w:rsidRDefault="0001380B" w:rsidP="0001380B">
      <w:pPr>
        <w:spacing w:after="80" w:line="360" w:lineRule="auto"/>
        <w:jc w:val="both"/>
        <w:rPr>
          <w:rFonts w:ascii="Arial" w:hAnsi="Arial" w:cs="Arial"/>
        </w:rPr>
      </w:pPr>
    </w:p>
    <w:sectPr w:rsidR="0001380B" w:rsidRPr="00DB67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777FD"/>
    <w:multiLevelType w:val="multilevel"/>
    <w:tmpl w:val="D1C6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E3125"/>
    <w:multiLevelType w:val="multilevel"/>
    <w:tmpl w:val="1C4AC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BD0FF2"/>
    <w:multiLevelType w:val="multilevel"/>
    <w:tmpl w:val="C5B44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72195A"/>
    <w:multiLevelType w:val="multilevel"/>
    <w:tmpl w:val="9436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387A30"/>
    <w:multiLevelType w:val="multilevel"/>
    <w:tmpl w:val="C2F4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7627031">
    <w:abstractNumId w:val="1"/>
  </w:num>
  <w:num w:numId="2" w16cid:durableId="383482978">
    <w:abstractNumId w:val="3"/>
  </w:num>
  <w:num w:numId="3" w16cid:durableId="1518999857">
    <w:abstractNumId w:val="2"/>
  </w:num>
  <w:num w:numId="4" w16cid:durableId="1770925561">
    <w:abstractNumId w:val="0"/>
  </w:num>
  <w:num w:numId="5" w16cid:durableId="5846107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7F"/>
    <w:rsid w:val="0001380B"/>
    <w:rsid w:val="00024054"/>
    <w:rsid w:val="000265E5"/>
    <w:rsid w:val="00045569"/>
    <w:rsid w:val="00046BA9"/>
    <w:rsid w:val="00054148"/>
    <w:rsid w:val="0006275A"/>
    <w:rsid w:val="000818D8"/>
    <w:rsid w:val="000B01E5"/>
    <w:rsid w:val="000D1A80"/>
    <w:rsid w:val="000F7A8C"/>
    <w:rsid w:val="00150029"/>
    <w:rsid w:val="00176781"/>
    <w:rsid w:val="001E7384"/>
    <w:rsid w:val="002474C5"/>
    <w:rsid w:val="0025491D"/>
    <w:rsid w:val="00272ACD"/>
    <w:rsid w:val="002774A9"/>
    <w:rsid w:val="002B2033"/>
    <w:rsid w:val="002C6CDC"/>
    <w:rsid w:val="002E0241"/>
    <w:rsid w:val="002E2CFC"/>
    <w:rsid w:val="002E618A"/>
    <w:rsid w:val="003279A4"/>
    <w:rsid w:val="003759F6"/>
    <w:rsid w:val="00387C8C"/>
    <w:rsid w:val="003D11F3"/>
    <w:rsid w:val="003D4231"/>
    <w:rsid w:val="003D58B4"/>
    <w:rsid w:val="00466DC6"/>
    <w:rsid w:val="004C6046"/>
    <w:rsid w:val="0052754D"/>
    <w:rsid w:val="00570984"/>
    <w:rsid w:val="005715E5"/>
    <w:rsid w:val="0058716B"/>
    <w:rsid w:val="005B7057"/>
    <w:rsid w:val="005C6E25"/>
    <w:rsid w:val="005F00DF"/>
    <w:rsid w:val="005F5657"/>
    <w:rsid w:val="00630D3F"/>
    <w:rsid w:val="0067455C"/>
    <w:rsid w:val="006B6DE0"/>
    <w:rsid w:val="00704513"/>
    <w:rsid w:val="00721774"/>
    <w:rsid w:val="007356E9"/>
    <w:rsid w:val="00736895"/>
    <w:rsid w:val="00771CD2"/>
    <w:rsid w:val="007A46A3"/>
    <w:rsid w:val="007A6B99"/>
    <w:rsid w:val="00861A16"/>
    <w:rsid w:val="00876F11"/>
    <w:rsid w:val="0088063B"/>
    <w:rsid w:val="00890B18"/>
    <w:rsid w:val="008A5282"/>
    <w:rsid w:val="008D4215"/>
    <w:rsid w:val="008E7935"/>
    <w:rsid w:val="009077D6"/>
    <w:rsid w:val="00952E31"/>
    <w:rsid w:val="00954728"/>
    <w:rsid w:val="00984D1A"/>
    <w:rsid w:val="009E37DD"/>
    <w:rsid w:val="00A277CF"/>
    <w:rsid w:val="00A32404"/>
    <w:rsid w:val="00A448F9"/>
    <w:rsid w:val="00A519F7"/>
    <w:rsid w:val="00A71D9B"/>
    <w:rsid w:val="00A819A7"/>
    <w:rsid w:val="00AA687D"/>
    <w:rsid w:val="00AB566D"/>
    <w:rsid w:val="00AB616C"/>
    <w:rsid w:val="00AC75C2"/>
    <w:rsid w:val="00AD2D87"/>
    <w:rsid w:val="00AD3B7F"/>
    <w:rsid w:val="00AF5C52"/>
    <w:rsid w:val="00BA486E"/>
    <w:rsid w:val="00C01614"/>
    <w:rsid w:val="00C034FD"/>
    <w:rsid w:val="00C202C3"/>
    <w:rsid w:val="00C20BBB"/>
    <w:rsid w:val="00C3267F"/>
    <w:rsid w:val="00C54167"/>
    <w:rsid w:val="00C961AA"/>
    <w:rsid w:val="00CC503B"/>
    <w:rsid w:val="00CE50CE"/>
    <w:rsid w:val="00CF7BAC"/>
    <w:rsid w:val="00D70EBD"/>
    <w:rsid w:val="00D94763"/>
    <w:rsid w:val="00DB671E"/>
    <w:rsid w:val="00DC298E"/>
    <w:rsid w:val="00DD1EB0"/>
    <w:rsid w:val="00DE7158"/>
    <w:rsid w:val="00E02561"/>
    <w:rsid w:val="00E04E9E"/>
    <w:rsid w:val="00E21A28"/>
    <w:rsid w:val="00E344D1"/>
    <w:rsid w:val="00E85345"/>
    <w:rsid w:val="00ED02AA"/>
    <w:rsid w:val="00EE27D6"/>
    <w:rsid w:val="00F07445"/>
    <w:rsid w:val="00F076E9"/>
    <w:rsid w:val="00F30579"/>
    <w:rsid w:val="00F37D5D"/>
    <w:rsid w:val="00FB54ED"/>
    <w:rsid w:val="00FB65D1"/>
    <w:rsid w:val="00FB72A5"/>
    <w:rsid w:val="00FC0B44"/>
    <w:rsid w:val="00FC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7D78A"/>
  <w15:chartTrackingRefBased/>
  <w15:docId w15:val="{DFB8A1AC-78E2-4DD5-948E-7E6FD930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D3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D3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D3B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D3B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3B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D3B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D3B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D3B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D3B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3B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D3B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D3B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D3B7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D3B7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D3B7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D3B7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D3B7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D3B7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D3B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D3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D3B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D3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D3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D3B7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D3B7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D3B7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D3B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D3B7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D3B7F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0B01E5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0B01E5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it-IT"/>
      <w14:ligatures w14:val="none"/>
    </w:rPr>
  </w:style>
  <w:style w:type="character" w:customStyle="1" w:styleId="textsmallblacklinear1">
    <w:name w:val="text_small_blacklinear1"/>
    <w:rsid w:val="00DE7158"/>
    <w:rPr>
      <w:rFonts w:ascii="Segoe UI" w:hAnsi="Segoe UI" w:cs="Segoe UI" w:hint="default"/>
      <w:color w:val="000000"/>
      <w:spacing w:val="15"/>
      <w:sz w:val="21"/>
      <w:szCs w:val="21"/>
    </w:rPr>
  </w:style>
  <w:style w:type="paragraph" w:customStyle="1" w:styleId="Default">
    <w:name w:val="Default"/>
    <w:rsid w:val="00AB61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2E6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937</Words>
  <Characters>5644</Characters>
  <Application>Microsoft Office Word</Application>
  <DocSecurity>0</DocSecurity>
  <Lines>84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PISTRIN Gianluca [Confindustria Udine]</dc:creator>
  <cp:keywords/>
  <dc:description/>
  <cp:lastModifiedBy>Giovanni Bertoli</cp:lastModifiedBy>
  <cp:revision>6</cp:revision>
  <cp:lastPrinted>2026-01-19T15:53:00Z</cp:lastPrinted>
  <dcterms:created xsi:type="dcterms:W3CDTF">2026-01-19T16:27:00Z</dcterms:created>
  <dcterms:modified xsi:type="dcterms:W3CDTF">2026-01-26T14:24:00Z</dcterms:modified>
</cp:coreProperties>
</file>